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BATANG TUBUH</w:t>
      </w:r>
    </w:p>
    <w:p w:rsidR="00000000" w:rsidDel="00000000" w:rsidP="00000000" w:rsidRDefault="00000000" w:rsidRPr="00000000" w14:paraId="00000002">
      <w:pPr>
        <w:spacing w:after="0" w:lineRule="auto"/>
        <w:jc w:val="center"/>
        <w:rPr/>
      </w:pPr>
      <w:r w:rsidDel="00000000" w:rsidR="00000000" w:rsidRPr="00000000">
        <w:rPr>
          <w:rFonts w:ascii="Bookman Old Style" w:cs="Bookman Old Style" w:eastAsia="Bookman Old Style" w:hAnsi="Bookman Old Style"/>
          <w:b w:val="1"/>
          <w:bCs w:val="1"/>
          <w:rtl w:val="0"/>
        </w:rPr>
        <w:t xml:space="preserve">RANCANGAN PERATURAN ANGGOTA DEWAN KOMISIONER  </w:t>
      </w: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rFonts w:ascii="Bookman Old Style" w:cs="Bookman Old Style" w:eastAsia="Bookman Old Style" w:hAnsi="Bookman Old Style"/>
          <w:b w:val="1"/>
          <w:bCs w:val="1"/>
          <w:rtl w:val="0"/>
        </w:rPr>
        <w:t xml:space="preserve">OTORITAS JASA KEUANGAN </w:t>
      </w:r>
      <w:r w:rsidDel="00000000" w:rsidR="00000000" w:rsidRPr="00000000">
        <w:rPr>
          <w:rtl w:val="0"/>
        </w:rPr>
      </w:r>
    </w:p>
    <w:p w:rsidR="00000000" w:rsidDel="00000000" w:rsidP="00000000" w:rsidRDefault="00000000" w:rsidRPr="00000000" w14:paraId="00000004">
      <w:pPr>
        <w:spacing w:after="0" w:lineRule="auto"/>
        <w:jc w:val="center"/>
        <w:rPr/>
      </w:pPr>
      <w:r w:rsidDel="00000000" w:rsidR="00000000" w:rsidRPr="00000000">
        <w:rPr>
          <w:rFonts w:ascii="Bookman Old Style" w:cs="Bookman Old Style" w:eastAsia="Bookman Old Style" w:hAnsi="Bookman Old Style"/>
          <w:b w:val="1"/>
          <w:bCs w:val="1"/>
          <w:rtl w:val="0"/>
        </w:rPr>
        <w:t xml:space="preserve">REPUBLIK INDONESIA</w:t>
      </w:r>
      <w:r w:rsidDel="00000000" w:rsidR="00000000" w:rsidRPr="00000000">
        <w:rPr>
          <w:rtl w:val="0"/>
        </w:rPr>
      </w:r>
    </w:p>
    <w:p w:rsidR="00000000" w:rsidDel="00000000" w:rsidP="00000000" w:rsidRDefault="00000000" w:rsidRPr="00000000" w14:paraId="00000005">
      <w:pPr>
        <w:spacing w:after="0" w:lineRule="auto"/>
        <w:jc w:val="center"/>
        <w:rPr/>
      </w:pPr>
      <w:r w:rsidDel="00000000" w:rsidR="00000000" w:rsidRPr="00000000">
        <w:rPr>
          <w:rFonts w:ascii="Bookman Old Style" w:cs="Bookman Old Style" w:eastAsia="Bookman Old Style" w:hAnsi="Bookman Old Style"/>
          <w:b w:val="1"/>
          <w:bCs w:val="1"/>
          <w:rtl w:val="0"/>
        </w:rPr>
        <w:t xml:space="preserve">NOMOR xx TAHUN 2026 </w:t>
      </w:r>
      <w:r w:rsidDel="00000000" w:rsidR="00000000" w:rsidRPr="00000000">
        <w:rPr>
          <w:rtl w:val="0"/>
        </w:rPr>
      </w:r>
    </w:p>
    <w:p w:rsidR="00000000" w:rsidDel="00000000" w:rsidP="00000000" w:rsidRDefault="00000000" w:rsidRPr="00000000" w14:paraId="00000006">
      <w:pPr>
        <w:spacing w:after="0" w:lineRule="auto"/>
        <w:jc w:val="center"/>
        <w:rPr>
          <w:rFonts w:ascii="Bookman Old Style" w:cs="Bookman Old Style" w:eastAsia="Bookman Old Style" w:hAnsi="Bookman Old Style"/>
          <w:b w:val="1"/>
          <w:bCs w:val="1"/>
        </w:rPr>
      </w:pPr>
      <w:r w:rsidDel="00000000" w:rsidR="00000000" w:rsidRPr="00000000">
        <w:rPr>
          <w:rFonts w:ascii="Bookman Old Style" w:cs="Bookman Old Style" w:eastAsia="Bookman Old Style" w:hAnsi="Bookman Old Style"/>
          <w:b w:val="1"/>
          <w:bCs w:val="1"/>
          <w:rtl w:val="0"/>
        </w:rPr>
        <w:t xml:space="preserve">TENTANG PEDOMAN AKUNTANSI PERBANKAN SYARIAH INDONESIA</w:t>
      </w:r>
    </w:p>
    <w:p w:rsidR="00000000" w:rsidDel="00000000" w:rsidP="00000000" w:rsidRDefault="00000000" w:rsidRPr="00000000" w14:paraId="00000007">
      <w:pPr>
        <w:spacing w:after="0" w:lineRule="auto"/>
        <w:jc w:val="center"/>
        <w:rPr/>
      </w:pPr>
      <w:r w:rsidDel="00000000" w:rsidR="00000000" w:rsidRPr="00000000">
        <w:rPr>
          <w:rFonts w:ascii="Bookman Old Style" w:cs="Bookman Old Style" w:eastAsia="Bookman Old Style" w:hAnsi="Bookman Old Style"/>
          <w:b w:val="1"/>
          <w:bCs w:val="1"/>
          <w:rtl w:val="0"/>
        </w:rPr>
        <w:t xml:space="preserve">BAGI BANK UMUM SYARIAH DAN UNIT USAHA SYARIAH</w:t>
      </w:r>
      <w:r w:rsidDel="00000000" w:rsidR="00000000" w:rsidRPr="00000000">
        <w:rPr>
          <w:rtl w:val="0"/>
        </w:rPr>
      </w:r>
    </w:p>
    <w:p w:rsidR="00000000" w:rsidDel="00000000" w:rsidP="00000000" w:rsidRDefault="00000000" w:rsidRPr="00000000" w14:paraId="00000008">
      <w:pPr>
        <w:spacing w:after="0" w:lineRule="auto"/>
        <w:jc w:val="center"/>
        <w:rPr>
          <w:rFonts w:ascii="Bookman Old Style" w:cs="Bookman Old Style" w:eastAsia="Bookman Old Style" w:hAnsi="Bookman Old Style"/>
          <w:b w:val="1"/>
          <w:bCs w:val="1"/>
        </w:rPr>
      </w:pPr>
      <w:r w:rsidDel="00000000" w:rsidR="00000000" w:rsidRPr="00000000">
        <w:rPr>
          <w:rtl w:val="0"/>
        </w:rPr>
      </w:r>
    </w:p>
    <w:tbl>
      <w:tblPr>
        <w:tblStyle w:val="Table1"/>
        <w:tblW w:w="16454.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13"/>
        <w:gridCol w:w="4113"/>
        <w:gridCol w:w="4114"/>
        <w:gridCol w:w="4114"/>
        <w:tblGridChange w:id="0">
          <w:tblGrid>
            <w:gridCol w:w="4113"/>
            <w:gridCol w:w="4113"/>
            <w:gridCol w:w="4114"/>
            <w:gridCol w:w="4114"/>
          </w:tblGrid>
        </w:tblGridChange>
      </w:tblGrid>
      <w:tr>
        <w:trPr>
          <w:cantSplit w:val="0"/>
          <w:trHeight w:val="615" w:hRule="atLeast"/>
          <w:tblHeader w:val="1"/>
        </w:trPr>
        <w:tc>
          <w:tcPr>
            <w:shd w:fill="c00000" w:val="clear"/>
            <w:vAlign w:val="center"/>
          </w:tcPr>
          <w:p w:rsidR="00000000" w:rsidDel="00000000" w:rsidP="00000000" w:rsidRDefault="00000000" w:rsidRPr="00000000" w14:paraId="00000009">
            <w:pPr>
              <w:spacing w:line="276" w:lineRule="auto"/>
              <w:jc w:val="center"/>
              <w:rPr>
                <w:rFonts w:ascii="Bookman Old Style" w:cs="Bookman Old Style" w:eastAsia="Bookman Old Style" w:hAnsi="Bookman Old Style"/>
                <w:color w:val="ffffff"/>
              </w:rPr>
            </w:pPr>
            <w:r w:rsidDel="00000000" w:rsidR="00000000" w:rsidRPr="00000000">
              <w:rPr>
                <w:rFonts w:ascii="Bookman Old Style" w:cs="Bookman Old Style" w:eastAsia="Bookman Old Style" w:hAnsi="Bookman Old Style"/>
                <w:b w:val="1"/>
                <w:bCs w:val="1"/>
                <w:color w:val="ffffff"/>
                <w:rtl w:val="0"/>
              </w:rPr>
              <w:t xml:space="preserve">PAPSI BUS UUS (2013)</w:t>
            </w:r>
            <w:r w:rsidDel="00000000" w:rsidR="00000000" w:rsidRPr="00000000">
              <w:rPr>
                <w:rtl w:val="0"/>
              </w:rPr>
            </w:r>
          </w:p>
        </w:tc>
        <w:tc>
          <w:tcPr>
            <w:shd w:fill="c00000" w:val="clear"/>
            <w:vAlign w:val="center"/>
          </w:tcPr>
          <w:p w:rsidR="00000000" w:rsidDel="00000000" w:rsidP="00000000" w:rsidRDefault="00000000" w:rsidRPr="00000000" w14:paraId="0000000A">
            <w:pPr>
              <w:spacing w:line="276" w:lineRule="auto"/>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Rancangan PADK PAPSI BUS UUS (2026)</w:t>
            </w:r>
          </w:p>
        </w:tc>
        <w:tc>
          <w:tcPr>
            <w:shd w:fill="c00000" w:val="clear"/>
            <w:vAlign w:val="center"/>
          </w:tcPr>
          <w:p w:rsidR="00000000" w:rsidDel="00000000" w:rsidP="00000000" w:rsidRDefault="00000000" w:rsidRPr="00000000" w14:paraId="0000000B">
            <w:pPr>
              <w:spacing w:line="276" w:lineRule="auto"/>
              <w:ind w:left="360" w:firstLine="0"/>
              <w:jc w:val="center"/>
              <w:rPr>
                <w:rFonts w:ascii="Bookman Old Style" w:cs="Bookman Old Style" w:eastAsia="Bookman Old Style" w:hAnsi="Bookman Old Style"/>
                <w:b w:val="1"/>
                <w:bCs w:val="1"/>
                <w:color w:val="ffffff"/>
              </w:rPr>
            </w:pPr>
            <w:r w:rsidDel="00000000" w:rsidR="00000000" w:rsidRPr="00000000">
              <w:rPr>
                <w:rFonts w:ascii="Bookman Old Style" w:cs="Bookman Old Style" w:eastAsia="Bookman Old Style" w:hAnsi="Bookman Old Style"/>
                <w:b w:val="1"/>
                <w:bCs w:val="1"/>
                <w:color w:val="ffffff"/>
                <w:rtl w:val="0"/>
              </w:rPr>
              <w:t xml:space="preserve">Tanggapan</w:t>
            </w:r>
          </w:p>
        </w:tc>
        <w:tc>
          <w:tcPr>
            <w:shd w:fill="c00000" w:val="clear"/>
            <w:vAlign w:val="center"/>
          </w:tcPr>
          <w:p w:rsidR="00000000" w:rsidDel="00000000" w:rsidP="00000000" w:rsidRDefault="00000000" w:rsidRPr="00000000" w14:paraId="0000000C">
            <w:pPr>
              <w:spacing w:line="276" w:lineRule="auto"/>
              <w:jc w:val="center"/>
              <w:rPr>
                <w:color w:val="ffffff"/>
              </w:rPr>
            </w:pPr>
            <w:r w:rsidDel="00000000" w:rsidR="00000000" w:rsidRPr="00000000">
              <w:rPr>
                <w:rFonts w:ascii="Bookman Old Style" w:cs="Bookman Old Style" w:eastAsia="Bookman Old Style" w:hAnsi="Bookman Old Style"/>
                <w:b w:val="1"/>
                <w:bCs w:val="1"/>
                <w:color w:val="ffffff"/>
                <w:rtl w:val="0"/>
              </w:rPr>
              <w:t xml:space="preserve">Usulan Perubahan</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0D">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0E">
            <w:pPr>
              <w:spacing w:line="276" w:lineRule="auto"/>
              <w:ind w:right="0"/>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DENGAN RAHMAT TUHAN YANG MAHA ESA  </w:t>
            </w:r>
          </w:p>
          <w:p w:rsidR="00000000" w:rsidDel="00000000" w:rsidP="00000000" w:rsidRDefault="00000000" w:rsidRPr="00000000" w14:paraId="0000000F">
            <w:pPr>
              <w:spacing w:line="276" w:lineRule="auto"/>
              <w:ind w:right="0"/>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ab/>
            </w:r>
          </w:p>
          <w:p w:rsidR="00000000" w:rsidDel="00000000" w:rsidP="00000000" w:rsidRDefault="00000000" w:rsidRPr="00000000" w14:paraId="00000010">
            <w:pPr>
              <w:spacing w:line="276" w:lineRule="auto"/>
              <w:ind w:right="0"/>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ANGGOTA DEWAN KOMISIONER OTORITAS JASA KEUANGAN,</w:t>
            </w:r>
          </w:p>
          <w:p w:rsidR="00000000" w:rsidDel="00000000" w:rsidP="00000000" w:rsidRDefault="00000000" w:rsidRPr="00000000" w14:paraId="00000011">
            <w:pPr>
              <w:tabs>
                <w:tab w:val="left" w:leader="none" w:pos="851"/>
                <w:tab w:val="left" w:leader="none" w:pos="1701"/>
              </w:tabs>
              <w:spacing w:line="276" w:lineRule="auto"/>
              <w:ind w:left="1080" w:firstLine="0"/>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12">
            <w:pPr>
              <w:spacing w:line="276" w:lineRule="auto"/>
              <w:ind w:left="360" w:right="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13">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14">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Sehubungan dengan Peraturan Bank Indonesia Nomor 14/14/PBI/2012 tentang Transparansi dan Publikasi Laporan Bank (Lembaran Negara Republik Indonesia Tahun 2012 Nomor 199, Tambahan Lembaran Negara Republik Indonesia Tahun 2012 Nomor 5353), perlu diatur ketentuan mengenai pelaksanaan pedoman akuntansi perbankan syariah Indonesia dalam Surat Edaran Bank Indonesia sebagai berikut:</w:t>
            </w:r>
          </w:p>
          <w:p w:rsidR="00000000" w:rsidDel="00000000" w:rsidP="00000000" w:rsidRDefault="00000000" w:rsidRPr="00000000" w14:paraId="00000015">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16">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 KETENTUAN UMUM</w:t>
            </w:r>
          </w:p>
          <w:p w:rsidR="00000000" w:rsidDel="00000000" w:rsidP="00000000" w:rsidRDefault="00000000" w:rsidRPr="00000000" w14:paraId="00000017">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Dalam rangka peningkatan transparansi kondisi keuangan bagi Bank Umum Syariah dan Unit Usaha Syariah, selanjutnya disebut Bank Syariah, dan penyusunan laporan keuangan yang relevan, komprehensif, andal dan dapat diperbandingkan, Bank Syariah menyusun dan menyajikan laporan keuangan berdasarkan Pernyataan Standar Akuntansi Keuangan (PSAK) yang relevan bagi Bank Syariah, Pedoman Akuntansi Perbankan Syariah Indonesia (PAPSI), dan ketentuan lain yang ditetapkan oleh Bank Indonesia.</w:t>
            </w:r>
          </w:p>
          <w:p w:rsidR="00000000" w:rsidDel="00000000" w:rsidP="00000000" w:rsidRDefault="00000000" w:rsidRPr="00000000" w14:paraId="00000018">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19">
            <w:pPr>
              <w:tabs>
                <w:tab w:val="left" w:leader="none" w:pos="851"/>
                <w:tab w:val="left" w:leader="none" w:pos="1701"/>
              </w:tabs>
              <w:spacing w:line="276" w:lineRule="auto"/>
              <w:ind w:left="122" w:firstLine="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Menimbang: </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482"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bahwa  untuk mewujudkan komitmen Indonesia sebagai anggota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Group of Twenty</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(G20) untuk menerapkan standar akuntansi berkualitas dan dalam rangka menciptakan disiplin pasar termasuk bagi bank yang menjalankan kegiatan usaha berdasarkan prinsip syariah, bank dituntut untuk menyusun laporan keuangan sesuai dengan standar akuntansi keuangan internasional;</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482"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bahwa standar tersebut diadaptasi ke dalam standar akuntansi keuangan di Indonesia namun masih bersifat prinsip (</w:t>
            </w:r>
            <w:r w:rsidDel="00000000" w:rsidR="00000000" w:rsidRPr="00000000">
              <w:rPr>
                <w:rFonts w:ascii="Bookman Old Style" w:cs="Bookman Old Style" w:eastAsia="Bookman Old Style" w:hAnsi="Bookman Old Style"/>
                <w:b w:val="0"/>
                <w:bCs w:val="0"/>
                <w:i w:val="1"/>
                <w:iCs w:val="1"/>
                <w:smallCaps w:val="0"/>
                <w:strike w:val="0"/>
                <w:color w:val="000000"/>
                <w:sz w:val="22"/>
                <w:szCs w:val="22"/>
                <w:u w:val="none"/>
                <w:shd w:fill="auto" w:val="clear"/>
                <w:vertAlign w:val="baseline"/>
                <w:rtl w:val="0"/>
              </w:rPr>
              <w:t xml:space="preserve">principle based</w:t>
            </w: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 sehingga dibutuhkan panduan akuntansi atas transaksi perbankan syariah;</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0" w:before="0" w:line="276" w:lineRule="auto"/>
              <w:ind w:left="482"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bahwa memperhatikan penerbitan Pernyataan Standar Akuntansi Keuangan (PSAK) terkini serta Pasal 6 ayat (1) Peraturan Otoritas Jasa Keuangan Nomor 18 tahun 2025 tentang Transparansi dan Publikasi Laporan Bank, ketentuan peraturan perundang-undangan mengenai pelaksanaan pedoman akuntansi perbankan syariah indonesia bagi bank umum syariah dan unit usaha syariah sudah tidak sesuai sehingga perlu diganti; </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482" w:right="0" w:hanging="36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bahwa berdasarkan pertimbangan sebagaimana dimaksud dalam huruf a, huruf b, dan huruf c, perlu menetapkan Peraturan Anggota Dewan Komisioner Otoritas Jasa Keuangan tentang Pedoman Akuntansi Perbankan Syariah Indonesia bagi Bank Umum Syariah dan Unit Usaha Syariah;</w:t>
            </w:r>
          </w:p>
        </w:tc>
        <w:tc>
          <w:tcPr/>
          <w:p w:rsidR="00000000" w:rsidDel="00000000" w:rsidP="00000000" w:rsidRDefault="00000000" w:rsidRPr="00000000" w14:paraId="0000001E">
            <w:pPr>
              <w:tabs>
                <w:tab w:val="left" w:leader="none" w:pos="851"/>
                <w:tab w:val="left" w:leader="none" w:pos="1701"/>
              </w:tabs>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1F">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20">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21">
            <w:pPr>
              <w:tabs>
                <w:tab w:val="left" w:leader="none" w:pos="851"/>
                <w:tab w:val="left" w:leader="none" w:pos="1701"/>
              </w:tabs>
              <w:spacing w:line="276" w:lineRule="auto"/>
              <w:ind w:left="122" w:firstLine="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Mengingat: </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276"/>
                <w:tab w:val="left" w:leader="none" w:pos="1701"/>
                <w:tab w:val="left" w:leader="none" w:pos="1985"/>
              </w:tabs>
              <w:spacing w:after="0" w:before="0" w:line="276" w:lineRule="auto"/>
              <w:ind w:left="516" w:right="0" w:hanging="394"/>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Undang-Undang Nomor 21 Tahun 2008 tentang Perbankan Syariah (Lembaran Negara Republik Indonesia Tahun 2008 Nomor 94, Tambahan Lembaran Negara Republik Indonesia Nomor 4867) sebagaimana telah diubah dengan Undang-Undang Nomor 4  Tahun 2023 tentang Pengembangan dan Penguatan Sektor Keuangan (Lembaran Negara Republik Indonesia Tahun 2023 Nomor 4, Tambahan Lembaran Negara Republik Indonesia Nomor 6845);</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276"/>
                <w:tab w:val="left" w:leader="none" w:pos="1701"/>
                <w:tab w:val="left" w:leader="none" w:pos="1985"/>
              </w:tabs>
              <w:spacing w:after="0" w:before="0" w:line="276" w:lineRule="auto"/>
              <w:ind w:left="516" w:right="0" w:hanging="394"/>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Undang-Undang Nomor 21 Tahun 2011 tentang Otoritas Jasa Keuangan (Lembaran Negara Republik Indonesia Tahun 2011 Nomor 111, Tambahan Lembaran Negara Republik Indonesia Nomor 5253) sebagaimana telah diubah dengan Undang-Undang Nomor 4 Tahun 2023 tentang Pengembangan dan Penguatan Sektor Keuangan (Lembaran Negara Republik Indonesia Tahun 2023 Nomor 4, Tambahan Lembaran Negara Republik Indonesia Nomor 6845);</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276"/>
                <w:tab w:val="left" w:leader="none" w:pos="1701"/>
                <w:tab w:val="left" w:leader="none" w:pos="1985"/>
              </w:tabs>
              <w:spacing w:after="160" w:before="0" w:line="276" w:lineRule="auto"/>
              <w:ind w:left="516" w:right="0" w:hanging="394"/>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Peraturan Otoritas Jasa Keuangan Nomor 18 Tahun 2025 tentang Transparansi dan Publikasi Laporan Bank (Lembaran Negara Republik Indonesia Tahun 2025 Nomor 26/OJK, Tambahan Lembaran Negara Republik Indonesia Nomor 156/OJK);</w:t>
            </w:r>
          </w:p>
          <w:p w:rsidR="00000000" w:rsidDel="00000000" w:rsidP="00000000" w:rsidRDefault="00000000" w:rsidRPr="00000000" w14:paraId="00000025">
            <w:pPr>
              <w:tabs>
                <w:tab w:val="left" w:leader="none" w:pos="851"/>
                <w:tab w:val="left" w:leader="none" w:pos="1701"/>
              </w:tabs>
              <w:spacing w:line="276" w:lineRule="auto"/>
              <w:ind w:left="122"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26">
            <w:pPr>
              <w:tabs>
                <w:tab w:val="left" w:leader="none" w:pos="851"/>
                <w:tab w:val="left" w:leader="none" w:pos="1701"/>
              </w:tabs>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27">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shd w:fill="auto" w:val="clear"/>
          </w:tcPr>
          <w:p w:rsidR="00000000" w:rsidDel="00000000" w:rsidP="00000000" w:rsidRDefault="00000000" w:rsidRPr="00000000" w14:paraId="00000028">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29">
            <w:pPr>
              <w:tabs>
                <w:tab w:val="left" w:leader="none" w:pos="851"/>
                <w:tab w:val="left" w:leader="none" w:pos="1701"/>
              </w:tabs>
              <w:spacing w:line="276" w:lineRule="auto"/>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MEMUTUSKAN:</w:t>
            </w:r>
          </w:p>
        </w:tc>
        <w:tc>
          <w:tcPr/>
          <w:p w:rsidR="00000000" w:rsidDel="00000000" w:rsidP="00000000" w:rsidRDefault="00000000" w:rsidRPr="00000000" w14:paraId="0000002A">
            <w:pPr>
              <w:tabs>
                <w:tab w:val="left" w:leader="none" w:pos="851"/>
                <w:tab w:val="left" w:leader="none" w:pos="1701"/>
              </w:tabs>
              <w:spacing w:line="276" w:lineRule="auto"/>
              <w:ind w:left="36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2B">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shd w:fill="auto" w:val="clear"/>
          </w:tcPr>
          <w:p w:rsidR="00000000" w:rsidDel="00000000" w:rsidP="00000000" w:rsidRDefault="00000000" w:rsidRPr="00000000" w14:paraId="0000002C">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2D">
            <w:pPr>
              <w:tabs>
                <w:tab w:val="left" w:leader="none" w:pos="1276"/>
                <w:tab w:val="left" w:leader="none" w:pos="1701"/>
                <w:tab w:val="left" w:leader="none" w:pos="1985"/>
              </w:tabs>
              <w:spacing w:line="276" w:lineRule="auto"/>
              <w:ind w:left="1985" w:right="0" w:hanging="1985"/>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Menetapkan</w:t>
            </w:r>
            <w:r w:rsidDel="00000000" w:rsidR="00000000" w:rsidRPr="00000000">
              <w:rPr>
                <w:rtl w:val="0"/>
              </w:rPr>
              <w:tab/>
            </w:r>
            <w:r w:rsidDel="00000000" w:rsidR="00000000" w:rsidRPr="00000000">
              <w:rPr>
                <w:rFonts w:ascii="Bookman Old Style" w:cs="Bookman Old Style" w:eastAsia="Bookman Old Style" w:hAnsi="Bookman Old Style"/>
                <w:color w:val="000000"/>
                <w:rtl w:val="0"/>
              </w:rPr>
              <w:t xml:space="preserve">:</w:t>
            </w:r>
            <w:r w:rsidDel="00000000" w:rsidR="00000000" w:rsidRPr="00000000">
              <w:rPr>
                <w:rtl w:val="0"/>
              </w:rPr>
              <w:tab/>
            </w:r>
            <w:r w:rsidDel="00000000" w:rsidR="00000000" w:rsidRPr="00000000">
              <w:rPr>
                <w:rFonts w:ascii="Bookman Old Style" w:cs="Bookman Old Style" w:eastAsia="Bookman Old Style" w:hAnsi="Bookman Old Style"/>
                <w:color w:val="000000"/>
                <w:rtl w:val="0"/>
              </w:rPr>
              <w:t xml:space="preserve">PELAKSANAAN PEDOMAN AKUNTANSI PERBANKAN SYARIAH INDONESIA BAGI BANK UMUM SYARIAH DAN UNIT USAHA SYARIAH.</w:t>
            </w:r>
          </w:p>
        </w:tc>
        <w:tc>
          <w:tcPr/>
          <w:p w:rsidR="00000000" w:rsidDel="00000000" w:rsidP="00000000" w:rsidRDefault="00000000" w:rsidRPr="00000000" w14:paraId="0000002E">
            <w:pPr>
              <w:tabs>
                <w:tab w:val="left" w:leader="none" w:pos="1276"/>
                <w:tab w:val="left" w:leader="none" w:pos="1701"/>
                <w:tab w:val="left" w:leader="none" w:pos="1985"/>
              </w:tabs>
              <w:spacing w:line="276" w:lineRule="auto"/>
              <w:ind w:left="360" w:right="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2F">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0">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31">
            <w:pPr>
              <w:tabs>
                <w:tab w:val="left" w:leader="none" w:pos="1276"/>
                <w:tab w:val="left" w:leader="none" w:pos="1701"/>
                <w:tab w:val="left" w:leader="none" w:pos="1985"/>
              </w:tabs>
              <w:spacing w:line="276" w:lineRule="auto"/>
              <w:ind w:left="1985" w:right="0" w:hanging="1985"/>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Pasal 1</w:t>
            </w:r>
          </w:p>
        </w:tc>
        <w:tc>
          <w:tcPr/>
          <w:p w:rsidR="00000000" w:rsidDel="00000000" w:rsidP="00000000" w:rsidRDefault="00000000" w:rsidRPr="00000000" w14:paraId="00000032">
            <w:pPr>
              <w:tabs>
                <w:tab w:val="left" w:leader="none" w:pos="1276"/>
                <w:tab w:val="left" w:leader="none" w:pos="1701"/>
                <w:tab w:val="left" w:leader="none" w:pos="1985"/>
              </w:tabs>
              <w:spacing w:line="276" w:lineRule="auto"/>
              <w:ind w:left="360" w:right="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33">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4">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35">
            <w:pPr>
              <w:spacing w:line="276" w:lineRule="auto"/>
              <w:ind w:right="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Dalam Peraturan Anggota Dewan Komisioner Otoritas Jasa Keuangan ini, yang dimaksud dengan:</w:t>
            </w:r>
          </w:p>
        </w:tc>
        <w:tc>
          <w:tcPr/>
          <w:p w:rsidR="00000000" w:rsidDel="00000000" w:rsidP="00000000" w:rsidRDefault="00000000" w:rsidRPr="00000000" w14:paraId="00000036">
            <w:pPr>
              <w:spacing w:line="276" w:lineRule="auto"/>
              <w:ind w:left="360" w:right="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37">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8">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276"/>
                <w:tab w:val="left" w:leader="none" w:pos="1701"/>
                <w:tab w:val="left" w:leader="none" w:pos="1985"/>
              </w:tabs>
              <w:spacing w:after="160" w:before="0" w:line="276" w:lineRule="auto"/>
              <w:ind w:left="516"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adalah Bank Umum Syariah dan Unit Usaha Syariah. </w:t>
            </w:r>
          </w:p>
        </w:tc>
        <w:tc>
          <w:tcPr/>
          <w:p w:rsidR="00000000" w:rsidDel="00000000" w:rsidP="00000000" w:rsidRDefault="00000000" w:rsidRPr="00000000" w14:paraId="0000003A">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3B">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3C">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276"/>
                <w:tab w:val="left" w:leader="none" w:pos="1701"/>
                <w:tab w:val="left" w:leader="none" w:pos="1985"/>
              </w:tabs>
              <w:spacing w:after="160" w:before="0" w:line="276" w:lineRule="auto"/>
              <w:ind w:left="516"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Bank Umum Syariah yang selanjutnya disingkat BUS adalah bank yang melaksanakan kegiatan usaha berdasarkan prinsip syariah yang dalam kegiatannya memberikan jasa dalam lalu lintas pembayaran. </w:t>
            </w:r>
          </w:p>
        </w:tc>
        <w:tc>
          <w:tcPr/>
          <w:p w:rsidR="00000000" w:rsidDel="00000000" w:rsidP="00000000" w:rsidRDefault="00000000" w:rsidRPr="00000000" w14:paraId="0000003E">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3F">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40">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276"/>
                <w:tab w:val="left" w:leader="none" w:pos="1701"/>
                <w:tab w:val="left" w:leader="none" w:pos="1985"/>
              </w:tabs>
              <w:spacing w:after="160" w:before="0" w:line="276" w:lineRule="auto"/>
              <w:ind w:left="516"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Unit Usaha Syariah yang selanjutnya disingkat UUS adalah unit kerja dari kantor pusat bank umum konvensional yang berfungsi sebagai kantor induk dari kantor atau unit yang melaksanakan kegiatan usaha berdasarkan prinsip syariah, atau unit kerja di kantor cabang dari suatu bank yang berkedudukan di luar negeri yang melaksanakan kegiatan usaha secara konvensional yang berfungsi sebagai kantor induk dari kantor cabang pembantu syariah dan/atau unit syariah. </w:t>
            </w:r>
          </w:p>
        </w:tc>
        <w:tc>
          <w:tcPr/>
          <w:p w:rsidR="00000000" w:rsidDel="00000000" w:rsidP="00000000" w:rsidRDefault="00000000" w:rsidRPr="00000000" w14:paraId="00000042">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43">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44">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PAPSI merupakan petunjuk pelaksanaan yang berisi penjabaran lebih lanjut dari beberapa Pernyataan Standar Akuntansi Keuangan (PSAK) yang relevan bagi industri perbankan syariah.</w:t>
            </w:r>
          </w:p>
        </w:tc>
        <w:tc>
          <w:tcPr/>
          <w:p w:rsidR="00000000" w:rsidDel="00000000" w:rsidP="00000000" w:rsidRDefault="00000000" w:rsidRPr="00000000" w14:paraId="000000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276"/>
                <w:tab w:val="left" w:leader="none" w:pos="1701"/>
                <w:tab w:val="left" w:leader="none" w:pos="1985"/>
              </w:tabs>
              <w:spacing w:after="160" w:before="0" w:line="276" w:lineRule="auto"/>
              <w:ind w:left="516" w:right="0" w:hanging="425"/>
              <w:jc w:val="both"/>
              <w:rPr>
                <w:rFonts w:ascii="Bookman Old Style" w:cs="Bookman Old Style" w:eastAsia="Bookman Old Style" w:hAnsi="Bookman Old Style"/>
                <w:b w:val="1"/>
                <w:bCs w:val="1"/>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Pedoman Akuntansi Perbankan Syariah Indonesia bagi BUS UUS yang selanjutnya disingkat PAPSI, adalah pedoman yang berisi penjabaran lebih lanjut dari standar akuntansi keuangan yang relevan bagi industri perbankan syariah baik untuk transaksi umum maupun transaksi syariah.</w:t>
            </w:r>
            <w:r w:rsidDel="00000000" w:rsidR="00000000" w:rsidRPr="00000000">
              <w:rPr>
                <w:rtl w:val="0"/>
              </w:rPr>
            </w:r>
          </w:p>
        </w:tc>
        <w:tc>
          <w:tcPr/>
          <w:p w:rsidR="00000000" w:rsidDel="00000000" w:rsidP="00000000" w:rsidRDefault="00000000" w:rsidRPr="00000000" w14:paraId="00000046">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47">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48">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49">
            <w:pPr>
              <w:spacing w:line="276" w:lineRule="auto"/>
              <w:ind w:left="547"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4A">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4B">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4C">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4D">
            <w:pPr>
              <w:spacing w:line="276" w:lineRule="auto"/>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Pasal 2</w:t>
            </w:r>
          </w:p>
        </w:tc>
        <w:tc>
          <w:tcPr/>
          <w:p w:rsidR="00000000" w:rsidDel="00000000" w:rsidP="00000000" w:rsidRDefault="00000000" w:rsidRPr="00000000" w14:paraId="0000004E">
            <w:pPr>
              <w:spacing w:line="276" w:lineRule="auto"/>
              <w:ind w:left="36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4F">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 w:val="left" w:leader="none" w:pos="1701"/>
              </w:tabs>
              <w:spacing w:after="160" w:before="0" w:line="276" w:lineRule="auto"/>
              <w:ind w:left="720" w:right="0" w:firstLine="0"/>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516"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Peraturan Anggota Dewan Komisioner Otoritas Jasa Keuangan ini mengatur mengenai PAPSI sebagai acuan atau panduan dalam penyusunan dan penyajian laporan keuangan Bank.</w:t>
            </w:r>
          </w:p>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6" w:lineRule="auto"/>
              <w:ind w:left="516" w:right="0" w:hanging="425"/>
              <w:jc w:val="both"/>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2"/>
                <w:szCs w:val="22"/>
                <w:u w:val="none"/>
                <w:shd w:fill="auto" w:val="clear"/>
                <w:vertAlign w:val="baseline"/>
                <w:rtl w:val="0"/>
              </w:rPr>
              <w:t xml:space="preserve">Dalam hal terdapat pengaturan yang tidak dijabarkan dalam PAPSI, Bank mengacu pada standar akuntansi keuangan beserta pedoman pelaksanaannya sepanjang tidak bertentangan dengan prinsip syariah.</w:t>
            </w:r>
          </w:p>
        </w:tc>
        <w:tc>
          <w:tcPr/>
          <w:p w:rsidR="00000000" w:rsidDel="00000000" w:rsidP="00000000" w:rsidRDefault="00000000" w:rsidRPr="00000000" w14:paraId="00000053">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54">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5">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56">
            <w:pPr>
              <w:spacing w:line="276" w:lineRule="auto"/>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57">
            <w:pPr>
              <w:spacing w:line="276" w:lineRule="auto"/>
              <w:ind w:left="36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58">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9">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5A">
            <w:pPr>
              <w:spacing w:line="276" w:lineRule="auto"/>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Pasal 3</w:t>
            </w:r>
          </w:p>
        </w:tc>
        <w:tc>
          <w:tcPr/>
          <w:p w:rsidR="00000000" w:rsidDel="00000000" w:rsidP="00000000" w:rsidRDefault="00000000" w:rsidRPr="00000000" w14:paraId="0000005B">
            <w:pPr>
              <w:spacing w:line="276" w:lineRule="auto"/>
              <w:ind w:left="36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5C">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D">
            <w:pPr>
              <w:tabs>
                <w:tab w:val="left" w:leader="none" w:pos="60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5E">
            <w:pPr>
              <w:tabs>
                <w:tab w:val="left" w:leader="none" w:pos="851"/>
                <w:tab w:val="left" w:leader="none" w:pos="1701"/>
              </w:tabs>
              <w:spacing w:line="276" w:lineRule="auto"/>
              <w:jc w:val="both"/>
              <w:rPr>
                <w:rFonts w:ascii="Bookman Old Style" w:cs="Bookman Old Style" w:eastAsia="Bookman Old Style" w:hAnsi="Bookman Old Style"/>
                <w:b w:val="1"/>
                <w:bCs w:val="1"/>
                <w:color w:val="000000"/>
              </w:rPr>
            </w:pPr>
            <w:r w:rsidDel="00000000" w:rsidR="00000000" w:rsidRPr="00000000">
              <w:rPr>
                <w:rFonts w:ascii="Bookman Old Style" w:cs="Bookman Old Style" w:eastAsia="Bookman Old Style" w:hAnsi="Bookman Old Style"/>
                <w:color w:val="000000"/>
                <w:rtl w:val="0"/>
              </w:rPr>
              <w:t xml:space="preserve">Dalam hal terdapat perubahan pada standar akuntansi keuangan setelah berlakunya Peraturan Anggota Dewan Komisioner Otoritas Jasa Keuangan ini, penyusunan laporan keuangan bank harus mengikuti standar akuntansi keuangan terkini di industri perbankan, sepanjang tidak dinyatakan lain oleh Otoritas Jasa Keuangan.</w:t>
            </w:r>
            <w:r w:rsidDel="00000000" w:rsidR="00000000" w:rsidRPr="00000000">
              <w:rPr>
                <w:rtl w:val="0"/>
              </w:rPr>
            </w:r>
          </w:p>
        </w:tc>
        <w:tc>
          <w:tcPr/>
          <w:p w:rsidR="00000000" w:rsidDel="00000000" w:rsidP="00000000" w:rsidRDefault="00000000" w:rsidRPr="00000000" w14:paraId="0000005F">
            <w:pPr>
              <w:tabs>
                <w:tab w:val="left" w:leader="none" w:pos="851"/>
                <w:tab w:val="left" w:leader="none" w:pos="1701"/>
              </w:tabs>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60">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1">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62">
            <w:pPr>
              <w:tabs>
                <w:tab w:val="left" w:leader="none" w:pos="851"/>
                <w:tab w:val="left" w:leader="none" w:pos="1701"/>
              </w:tabs>
              <w:spacing w:line="276" w:lineRule="auto"/>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63">
            <w:pPr>
              <w:tabs>
                <w:tab w:val="left" w:leader="none" w:pos="851"/>
                <w:tab w:val="left" w:leader="none" w:pos="1701"/>
              </w:tabs>
              <w:spacing w:line="276" w:lineRule="auto"/>
              <w:ind w:left="36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64">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5">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66">
            <w:pPr>
              <w:tabs>
                <w:tab w:val="left" w:leader="none" w:pos="851"/>
                <w:tab w:val="left" w:leader="none" w:pos="1701"/>
              </w:tabs>
              <w:spacing w:line="276" w:lineRule="auto"/>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Pasal 4</w:t>
            </w:r>
          </w:p>
        </w:tc>
        <w:tc>
          <w:tcPr/>
          <w:p w:rsidR="00000000" w:rsidDel="00000000" w:rsidP="00000000" w:rsidRDefault="00000000" w:rsidRPr="00000000" w14:paraId="00000067">
            <w:pPr>
              <w:tabs>
                <w:tab w:val="left" w:leader="none" w:pos="851"/>
                <w:tab w:val="left" w:leader="none" w:pos="1701"/>
              </w:tabs>
              <w:spacing w:line="276" w:lineRule="auto"/>
              <w:ind w:left="36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68">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9">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6A">
            <w:pPr>
              <w:spacing w:line="276" w:lineRule="auto"/>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PAPSI sebagai lampiran merupakan bagian tidak terpisahkan dari Peraturan Anggota Dewan Komisioner Otoritas Jasa Keuangan ini. </w:t>
            </w:r>
          </w:p>
          <w:p w:rsidR="00000000" w:rsidDel="00000000" w:rsidP="00000000" w:rsidRDefault="00000000" w:rsidRPr="00000000" w14:paraId="0000006B">
            <w:pPr>
              <w:tabs>
                <w:tab w:val="left" w:leader="none" w:pos="851"/>
                <w:tab w:val="left" w:leader="none" w:pos="1701"/>
              </w:tabs>
              <w:spacing w:line="276" w:lineRule="auto"/>
              <w:jc w:val="both"/>
              <w:rPr>
                <w:rFonts w:ascii="Bookman Old Style" w:cs="Bookman Old Style" w:eastAsia="Bookman Old Style" w:hAnsi="Bookman Old Style"/>
                <w:b w:val="1"/>
                <w:bCs w:val="1"/>
                <w:color w:val="000000"/>
              </w:rPr>
            </w:pPr>
            <w:r w:rsidDel="00000000" w:rsidR="00000000" w:rsidRPr="00000000">
              <w:rPr>
                <w:rtl w:val="0"/>
              </w:rPr>
            </w:r>
          </w:p>
        </w:tc>
        <w:tc>
          <w:tcPr/>
          <w:p w:rsidR="00000000" w:rsidDel="00000000" w:rsidP="00000000" w:rsidRDefault="00000000" w:rsidRPr="00000000" w14:paraId="0000006C">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6D">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6E">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6F">
            <w:pPr>
              <w:spacing w:line="276" w:lineRule="auto"/>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70">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71">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2">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73">
            <w:pPr>
              <w:spacing w:line="276" w:lineRule="auto"/>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Pasal 5</w:t>
            </w:r>
          </w:p>
        </w:tc>
        <w:tc>
          <w:tcPr/>
          <w:p w:rsidR="00000000" w:rsidDel="00000000" w:rsidP="00000000" w:rsidRDefault="00000000" w:rsidRPr="00000000" w14:paraId="00000074">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75">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6">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77">
            <w:pPr>
              <w:spacing w:line="276" w:lineRule="auto"/>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Pada saat Peraturan Anggota Dewan Komisioner Otoritas Jasa Keuangan ini mulai berlaku Surat Edaran Bank Indonesia Nomor 15/26/DPbS tanggal 10 Juli 2013 tentang Pelaksanaan Pedoman Akuntansi Perbankan Syariah Indonesia dicabut dan dinyatakan tidak berlaku.</w:t>
            </w:r>
          </w:p>
        </w:tc>
        <w:tc>
          <w:tcPr/>
          <w:p w:rsidR="00000000" w:rsidDel="00000000" w:rsidP="00000000" w:rsidRDefault="00000000" w:rsidRPr="00000000" w14:paraId="00000078">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79">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A">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7B">
            <w:pPr>
              <w:spacing w:line="276" w:lineRule="auto"/>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7C">
            <w:pPr>
              <w:spacing w:line="276" w:lineRule="auto"/>
              <w:ind w:left="36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7D">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E">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7F">
            <w:pPr>
              <w:spacing w:line="276" w:lineRule="auto"/>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Pasal 6</w:t>
            </w:r>
          </w:p>
        </w:tc>
        <w:tc>
          <w:tcPr/>
          <w:p w:rsidR="00000000" w:rsidDel="00000000" w:rsidP="00000000" w:rsidRDefault="00000000" w:rsidRPr="00000000" w14:paraId="00000080">
            <w:pPr>
              <w:spacing w:line="276" w:lineRule="auto"/>
              <w:ind w:left="360" w:firstLine="0"/>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81">
            <w:pPr>
              <w:spacing w:line="276" w:lineRule="auto"/>
              <w:jc w:val="center"/>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82">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Dengan berlakunya Surat Edaran Bank Indonesia ini, Surat Edaran Bank Indonesia Nomor 5/26/BPS tanggal 27 Oktober 2003 perihal Pelaksanaan Pedoman Akuntansi Perbankan Syariah Indonesia dinyatakan tidak berlaku bagi Bank Umum Syariah dan Unit Usaha Syariah.</w:t>
            </w:r>
          </w:p>
          <w:p w:rsidR="00000000" w:rsidDel="00000000" w:rsidP="00000000" w:rsidRDefault="00000000" w:rsidRPr="00000000" w14:paraId="00000083">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Surat Edaran Bank Indonesia ini mulai berlaku pada tanggal 1 Agustus 2013</w:t>
            </w:r>
          </w:p>
        </w:tc>
        <w:tc>
          <w:tcPr/>
          <w:p w:rsidR="00000000" w:rsidDel="00000000" w:rsidP="00000000" w:rsidRDefault="00000000" w:rsidRPr="00000000" w14:paraId="00000084">
            <w:pPr>
              <w:spacing w:line="276" w:lineRule="auto"/>
              <w:ind w:right="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Peraturan Anggota Dewan Komisioner Otoritas Jasa Keuangan ini mulai berlaku pada tanggal 1 Januari 2027.</w:t>
            </w:r>
          </w:p>
          <w:p w:rsidR="00000000" w:rsidDel="00000000" w:rsidP="00000000" w:rsidRDefault="00000000" w:rsidRPr="00000000" w14:paraId="00000085">
            <w:pPr>
              <w:tabs>
                <w:tab w:val="left" w:leader="none" w:pos="851"/>
                <w:tab w:val="left" w:leader="none" w:pos="1701"/>
              </w:tabs>
              <w:spacing w:line="276" w:lineRule="auto"/>
              <w:jc w:val="both"/>
              <w:rPr>
                <w:rFonts w:ascii="Bookman Old Style" w:cs="Bookman Old Style" w:eastAsia="Bookman Old Style" w:hAnsi="Bookman Old Style"/>
                <w:b w:val="1"/>
                <w:bCs w:val="1"/>
                <w:color w:val="000000"/>
              </w:rPr>
            </w:pPr>
            <w:r w:rsidDel="00000000" w:rsidR="00000000" w:rsidRPr="00000000">
              <w:rPr>
                <w:rtl w:val="0"/>
              </w:rPr>
            </w:r>
          </w:p>
        </w:tc>
        <w:tc>
          <w:tcPr/>
          <w:p w:rsidR="00000000" w:rsidDel="00000000" w:rsidP="00000000" w:rsidRDefault="00000000" w:rsidRPr="00000000" w14:paraId="00000086">
            <w:pPr>
              <w:spacing w:line="276" w:lineRule="auto"/>
              <w:ind w:left="360" w:right="0" w:firstLine="0"/>
              <w:jc w:val="both"/>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87">
            <w:pPr>
              <w:spacing w:line="276" w:lineRule="auto"/>
              <w:jc w:val="both"/>
              <w:rPr>
                <w:rFonts w:ascii="Bookman Old Style" w:cs="Bookman Old Style" w:eastAsia="Bookman Old Style" w:hAnsi="Bookman Old Style"/>
                <w:color w:val="00000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88">
            <w:pPr>
              <w:tabs>
                <w:tab w:val="left" w:leader="none" w:pos="851"/>
                <w:tab w:val="left" w:leader="none" w:pos="1701"/>
              </w:tabs>
              <w:spacing w:line="276" w:lineRule="auto"/>
              <w:jc w:val="both"/>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089">
            <w:pPr>
              <w:spacing w:line="276" w:lineRule="auto"/>
              <w:ind w:left="973"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Ditetapkan di Jakarta</w:t>
            </w:r>
          </w:p>
          <w:p w:rsidR="00000000" w:rsidDel="00000000" w:rsidP="00000000" w:rsidRDefault="00000000" w:rsidRPr="00000000" w14:paraId="0000008A">
            <w:pPr>
              <w:spacing w:line="276" w:lineRule="auto"/>
              <w:ind w:left="973"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pada tanggal … </w:t>
            </w:r>
          </w:p>
          <w:p w:rsidR="00000000" w:rsidDel="00000000" w:rsidP="00000000" w:rsidRDefault="00000000" w:rsidRPr="00000000" w14:paraId="0000008B">
            <w:pPr>
              <w:spacing w:line="276" w:lineRule="auto"/>
              <w:ind w:left="973"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ab/>
              <w:tab/>
              <w:tab/>
              <w:tab/>
              <w:tab/>
              <w:tab/>
              <w:tab/>
            </w:r>
          </w:p>
          <w:p w:rsidR="00000000" w:rsidDel="00000000" w:rsidP="00000000" w:rsidRDefault="00000000" w:rsidRPr="00000000" w14:paraId="0000008C">
            <w:pPr>
              <w:spacing w:line="276" w:lineRule="auto"/>
              <w:ind w:left="973"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KEPALA EKSEKUTIF PENGAWAS PERBANKAN</w:t>
            </w:r>
          </w:p>
          <w:p w:rsidR="00000000" w:rsidDel="00000000" w:rsidP="00000000" w:rsidRDefault="00000000" w:rsidRPr="00000000" w14:paraId="0000008D">
            <w:pPr>
              <w:spacing w:line="276" w:lineRule="auto"/>
              <w:ind w:left="973"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OTORITAS JASA KEUANGAN</w:t>
            </w:r>
          </w:p>
          <w:p w:rsidR="00000000" w:rsidDel="00000000" w:rsidP="00000000" w:rsidRDefault="00000000" w:rsidRPr="00000000" w14:paraId="0000008E">
            <w:pPr>
              <w:spacing w:line="276" w:lineRule="auto"/>
              <w:ind w:left="973"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REPUBLIK INDONESIA,</w:t>
            </w:r>
          </w:p>
          <w:p w:rsidR="00000000" w:rsidDel="00000000" w:rsidP="00000000" w:rsidRDefault="00000000" w:rsidRPr="00000000" w14:paraId="0000008F">
            <w:pPr>
              <w:spacing w:line="276" w:lineRule="auto"/>
              <w:ind w:left="973"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90">
            <w:pPr>
              <w:spacing w:line="276" w:lineRule="auto"/>
              <w:ind w:left="3402"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91">
            <w:pPr>
              <w:spacing w:line="276" w:lineRule="auto"/>
              <w:ind w:left="3402"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92">
            <w:pPr>
              <w:spacing w:line="276" w:lineRule="auto"/>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DIAN EDIANA RAE</w:t>
            </w:r>
          </w:p>
          <w:p w:rsidR="00000000" w:rsidDel="00000000" w:rsidP="00000000" w:rsidRDefault="00000000" w:rsidRPr="00000000" w14:paraId="00000093">
            <w:pPr>
              <w:tabs>
                <w:tab w:val="left" w:leader="none" w:pos="851"/>
                <w:tab w:val="left" w:leader="none" w:pos="1701"/>
              </w:tabs>
              <w:spacing w:line="276" w:lineRule="auto"/>
              <w:jc w:val="both"/>
              <w:rPr>
                <w:rFonts w:ascii="Bookman Old Style" w:cs="Bookman Old Style" w:eastAsia="Bookman Old Style" w:hAnsi="Bookman Old Style"/>
                <w:b w:val="1"/>
                <w:bCs w:val="1"/>
              </w:rPr>
            </w:pPr>
            <w:r w:rsidDel="00000000" w:rsidR="00000000" w:rsidRPr="00000000">
              <w:rPr>
                <w:rtl w:val="0"/>
              </w:rPr>
            </w:r>
          </w:p>
        </w:tc>
        <w:tc>
          <w:tcPr/>
          <w:p w:rsidR="00000000" w:rsidDel="00000000" w:rsidP="00000000" w:rsidRDefault="00000000" w:rsidRPr="00000000" w14:paraId="00000094">
            <w:pPr>
              <w:spacing w:line="276" w:lineRule="auto"/>
              <w:ind w:left="1080" w:firstLine="0"/>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095">
            <w:pPr>
              <w:spacing w:line="276" w:lineRule="auto"/>
              <w:rPr>
                <w:rFonts w:ascii="Bookman Old Style" w:cs="Bookman Old Style" w:eastAsia="Bookman Old Style" w:hAnsi="Bookman Old Style"/>
                <w:color w:val="000000"/>
              </w:rPr>
            </w:pPr>
            <w:r w:rsidDel="00000000" w:rsidR="00000000" w:rsidRPr="00000000">
              <w:rPr>
                <w:rtl w:val="0"/>
              </w:rPr>
            </w:r>
          </w:p>
        </w:tc>
      </w:tr>
    </w:tbl>
    <w:p w:rsidR="00000000" w:rsidDel="00000000" w:rsidP="00000000" w:rsidRDefault="00000000" w:rsidRPr="00000000" w14:paraId="00000096">
      <w:pPr>
        <w:spacing w:line="276" w:lineRule="auto"/>
        <w:rPr>
          <w:rFonts w:ascii="Bookman Old Style" w:cs="Bookman Old Style" w:eastAsia="Bookman Old Style" w:hAnsi="Bookman Old Style"/>
        </w:rPr>
      </w:pPr>
      <w:r w:rsidDel="00000000" w:rsidR="00000000" w:rsidRPr="00000000">
        <w:rPr>
          <w:rtl w:val="0"/>
        </w:rPr>
      </w:r>
    </w:p>
    <w:sectPr>
      <w:pgSz w:h="11901" w:w="18700" w:orient="landscape"/>
      <w:pgMar w:bottom="1418" w:top="1418" w:left="1418" w:right="1123"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Bookman Old Styl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52" w:hanging="430"/>
      </w:pPr>
      <w:rPr/>
    </w:lvl>
    <w:lvl w:ilvl="1">
      <w:start w:val="1"/>
      <w:numFmt w:val="lowerLetter"/>
      <w:lvlText w:val="%2."/>
      <w:lvlJc w:val="left"/>
      <w:pPr>
        <w:ind w:left="1202" w:hanging="360"/>
      </w:pPr>
      <w:rPr/>
    </w:lvl>
    <w:lvl w:ilvl="2">
      <w:start w:val="1"/>
      <w:numFmt w:val="lowerRoman"/>
      <w:lvlText w:val="%3."/>
      <w:lvlJc w:val="right"/>
      <w:pPr>
        <w:ind w:left="1922" w:hanging="180"/>
      </w:pPr>
      <w:rPr/>
    </w:lvl>
    <w:lvl w:ilvl="3">
      <w:start w:val="1"/>
      <w:numFmt w:val="decimal"/>
      <w:lvlText w:val="%4."/>
      <w:lvlJc w:val="left"/>
      <w:pPr>
        <w:ind w:left="2642" w:hanging="360"/>
      </w:pPr>
      <w:rPr/>
    </w:lvl>
    <w:lvl w:ilvl="4">
      <w:start w:val="1"/>
      <w:numFmt w:val="lowerLetter"/>
      <w:lvlText w:val="%5."/>
      <w:lvlJc w:val="left"/>
      <w:pPr>
        <w:ind w:left="3362" w:hanging="360"/>
      </w:pPr>
      <w:rPr/>
    </w:lvl>
    <w:lvl w:ilvl="5">
      <w:start w:val="1"/>
      <w:numFmt w:val="lowerRoman"/>
      <w:lvlText w:val="%6."/>
      <w:lvlJc w:val="right"/>
      <w:pPr>
        <w:ind w:left="4082" w:hanging="180"/>
      </w:pPr>
      <w:rPr/>
    </w:lvl>
    <w:lvl w:ilvl="6">
      <w:start w:val="1"/>
      <w:numFmt w:val="decimal"/>
      <w:lvlText w:val="%7."/>
      <w:lvlJc w:val="left"/>
      <w:pPr>
        <w:ind w:left="4802" w:hanging="360"/>
      </w:pPr>
      <w:rPr/>
    </w:lvl>
    <w:lvl w:ilvl="7">
      <w:start w:val="1"/>
      <w:numFmt w:val="lowerLetter"/>
      <w:lvlText w:val="%8."/>
      <w:lvlJc w:val="left"/>
      <w:pPr>
        <w:ind w:left="5522" w:hanging="360"/>
      </w:pPr>
      <w:rPr/>
    </w:lvl>
    <w:lvl w:ilvl="8">
      <w:start w:val="1"/>
      <w:numFmt w:val="lowerRoman"/>
      <w:lvlText w:val="%9."/>
      <w:lvlJc w:val="right"/>
      <w:pPr>
        <w:ind w:left="6242" w:hanging="180"/>
      </w:pPr>
      <w:rPr/>
    </w:lvl>
  </w:abstractNum>
  <w:abstractNum w:abstractNumId="2">
    <w:lvl w:ilvl="0">
      <w:start w:val="1"/>
      <w:numFmt w:val="lowerLetter"/>
      <w:lvlText w:val="%1."/>
      <w:lvlJc w:val="left"/>
      <w:pPr>
        <w:ind w:left="482" w:hanging="360"/>
      </w:pPr>
      <w:rPr/>
    </w:lvl>
    <w:lvl w:ilvl="1">
      <w:start w:val="1"/>
      <w:numFmt w:val="lowerLetter"/>
      <w:lvlText w:val="%2."/>
      <w:lvlJc w:val="left"/>
      <w:pPr>
        <w:ind w:left="1202" w:hanging="360"/>
      </w:pPr>
      <w:rPr/>
    </w:lvl>
    <w:lvl w:ilvl="2">
      <w:start w:val="1"/>
      <w:numFmt w:val="lowerRoman"/>
      <w:lvlText w:val="%3."/>
      <w:lvlJc w:val="right"/>
      <w:pPr>
        <w:ind w:left="1922" w:hanging="180"/>
      </w:pPr>
      <w:rPr/>
    </w:lvl>
    <w:lvl w:ilvl="3">
      <w:start w:val="1"/>
      <w:numFmt w:val="decimal"/>
      <w:lvlText w:val="%4."/>
      <w:lvlJc w:val="left"/>
      <w:pPr>
        <w:ind w:left="2642" w:hanging="360"/>
      </w:pPr>
      <w:rPr/>
    </w:lvl>
    <w:lvl w:ilvl="4">
      <w:start w:val="1"/>
      <w:numFmt w:val="lowerLetter"/>
      <w:lvlText w:val="%5."/>
      <w:lvlJc w:val="left"/>
      <w:pPr>
        <w:ind w:left="3362" w:hanging="360"/>
      </w:pPr>
      <w:rPr/>
    </w:lvl>
    <w:lvl w:ilvl="5">
      <w:start w:val="1"/>
      <w:numFmt w:val="lowerRoman"/>
      <w:lvlText w:val="%6."/>
      <w:lvlJc w:val="right"/>
      <w:pPr>
        <w:ind w:left="4082" w:hanging="180"/>
      </w:pPr>
      <w:rPr/>
    </w:lvl>
    <w:lvl w:ilvl="6">
      <w:start w:val="1"/>
      <w:numFmt w:val="decimal"/>
      <w:lvlText w:val="%7."/>
      <w:lvlJc w:val="left"/>
      <w:pPr>
        <w:ind w:left="4802" w:hanging="360"/>
      </w:pPr>
      <w:rPr/>
    </w:lvl>
    <w:lvl w:ilvl="7">
      <w:start w:val="1"/>
      <w:numFmt w:val="lowerLetter"/>
      <w:lvlText w:val="%8."/>
      <w:lvlJc w:val="left"/>
      <w:pPr>
        <w:ind w:left="5522" w:hanging="360"/>
      </w:pPr>
      <w:rPr/>
    </w:lvl>
    <w:lvl w:ilvl="8">
      <w:start w:val="1"/>
      <w:numFmt w:val="lowerRoman"/>
      <w:lvlText w:val="%9."/>
      <w:lvlJc w:val="right"/>
      <w:pPr>
        <w:ind w:left="6242" w:hanging="180"/>
      </w:pPr>
      <w:rPr/>
    </w:lvl>
  </w:abstractNum>
  <w:abstractNum w:abstractNumId="3">
    <w:lvl w:ilvl="0">
      <w:start w:val="1"/>
      <w:numFmt w:val="decimal"/>
      <w:lvlText w:val="(%1)"/>
      <w:lvlJc w:val="left"/>
      <w:pPr>
        <w:ind w:left="720" w:hanging="360"/>
      </w:pPr>
      <w:rPr>
        <w:rFonts w:ascii="Bookman Old Style" w:cs="Bookman Old Style" w:eastAsia="Bookman Old Style" w:hAnsi="Bookman Old Style"/>
        <w:b w:val="0"/>
        <w:bCs w:val="0"/>
        <w:i w:val="0"/>
        <w:iCs w:val="0"/>
        <w:color w:val="00000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552" w:hanging="430"/>
      </w:pPr>
      <w:rPr>
        <w:b w:val="0"/>
        <w:bCs w:val="0"/>
      </w:rPr>
    </w:lvl>
    <w:lvl w:ilvl="1">
      <w:start w:val="1"/>
      <w:numFmt w:val="lowerLetter"/>
      <w:lvlText w:val="%2."/>
      <w:lvlJc w:val="left"/>
      <w:pPr>
        <w:ind w:left="1202" w:hanging="360"/>
      </w:pPr>
      <w:rPr/>
    </w:lvl>
    <w:lvl w:ilvl="2">
      <w:start w:val="1"/>
      <w:numFmt w:val="lowerRoman"/>
      <w:lvlText w:val="%3."/>
      <w:lvlJc w:val="right"/>
      <w:pPr>
        <w:ind w:left="1922" w:hanging="180"/>
      </w:pPr>
      <w:rPr/>
    </w:lvl>
    <w:lvl w:ilvl="3">
      <w:start w:val="1"/>
      <w:numFmt w:val="decimal"/>
      <w:lvlText w:val="%4."/>
      <w:lvlJc w:val="left"/>
      <w:pPr>
        <w:ind w:left="2642" w:hanging="360"/>
      </w:pPr>
      <w:rPr/>
    </w:lvl>
    <w:lvl w:ilvl="4">
      <w:start w:val="1"/>
      <w:numFmt w:val="lowerLetter"/>
      <w:lvlText w:val="%5."/>
      <w:lvlJc w:val="left"/>
      <w:pPr>
        <w:ind w:left="3362" w:hanging="360"/>
      </w:pPr>
      <w:rPr/>
    </w:lvl>
    <w:lvl w:ilvl="5">
      <w:start w:val="1"/>
      <w:numFmt w:val="lowerRoman"/>
      <w:lvlText w:val="%6."/>
      <w:lvlJc w:val="right"/>
      <w:pPr>
        <w:ind w:left="4082" w:hanging="180"/>
      </w:pPr>
      <w:rPr/>
    </w:lvl>
    <w:lvl w:ilvl="6">
      <w:start w:val="1"/>
      <w:numFmt w:val="decimal"/>
      <w:lvlText w:val="%7."/>
      <w:lvlJc w:val="left"/>
      <w:pPr>
        <w:ind w:left="4802" w:hanging="360"/>
      </w:pPr>
      <w:rPr/>
    </w:lvl>
    <w:lvl w:ilvl="7">
      <w:start w:val="1"/>
      <w:numFmt w:val="lowerLetter"/>
      <w:lvlText w:val="%8."/>
      <w:lvlJc w:val="left"/>
      <w:pPr>
        <w:ind w:left="5522" w:hanging="360"/>
      </w:pPr>
      <w:rPr/>
    </w:lvl>
    <w:lvl w:ilvl="8">
      <w:start w:val="1"/>
      <w:numFmt w:val="lowerRoman"/>
      <w:lvlText w:val="%9."/>
      <w:lvlJc w:val="right"/>
      <w:pPr>
        <w:ind w:left="6242"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id"/>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X9DycMTg5P6UIWEfFUGSwkYq1Q==">CgMxLjA4AHIhMWdQRDNEVzVmOU9mMDQ0aksyN1RfZ19CcDc4YXJTeE9O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y fmtid="{D5CDD505-2E9C-101B-9397-08002B2CF9AE}" pid="3" name="MediaServiceImageTags">
    <vt:lpwstr>MediaServiceImageTags</vt:lpwstr>
  </property>
</Properties>
</file>